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F00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000000" w:themeColor="text1"/>
          <w:sz w:val="48"/>
          <w:szCs w:val="48"/>
          <w14:textFill>
            <w14:solidFill>
              <w14:schemeClr w14:val="tx1"/>
            </w14:solidFill>
          </w14:textFill>
        </w:rPr>
      </w:pPr>
      <w:r>
        <w:rPr>
          <w:color w:val="000000" w:themeColor="text1"/>
          <w:sz w:val="48"/>
          <w:szCs w:val="48"/>
          <w:bdr w:val="none" w:color="auto" w:sz="0" w:space="0"/>
          <w14:textFill>
            <w14:solidFill>
              <w14:schemeClr w14:val="tx1"/>
            </w14:solidFill>
          </w14:textFill>
        </w:rPr>
        <w:t>2026年全国教育科学规划中国教育法治与全球教育治理研究专项申报公告</w:t>
      </w:r>
    </w:p>
    <w:p w14:paraId="615168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left"/>
        <w:rPr>
          <w:color w:val="000000" w:themeColor="text1"/>
          <w:sz w:val="24"/>
          <w:szCs w:val="24"/>
          <w14:textFill>
            <w14:solidFill>
              <w14:schemeClr w14:val="tx1"/>
            </w14:solidFill>
          </w14:textFill>
        </w:rPr>
      </w:pPr>
      <w:r>
        <w:rPr>
          <w:rFonts w:ascii="宋体" w:hAnsi="宋体" w:eastAsia="宋体" w:cs="宋体"/>
          <w:color w:val="000000" w:themeColor="text1"/>
          <w:kern w:val="0"/>
          <w:sz w:val="24"/>
          <w:szCs w:val="24"/>
          <w:bdr w:val="none" w:color="auto" w:sz="0" w:space="0"/>
          <w:lang w:val="en-US" w:eastAsia="zh-CN" w:bidi="ar"/>
          <w14:textFill>
            <w14:solidFill>
              <w14:schemeClr w14:val="tx1"/>
            </w14:solidFill>
          </w14:textFill>
        </w:rPr>
        <w:t>2026-06-02 浏览:  5530 分享:   </w:t>
      </w:r>
    </w:p>
    <w:p w14:paraId="7C99D0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51" w:lineRule="atLeast"/>
        <w:ind w:left="0" w:right="0" w:firstLine="420"/>
      </w:pPr>
      <w:r>
        <w:rPr>
          <w:rFonts w:ascii="仿宋_GB2312" w:hAnsi="Times New Roman" w:eastAsia="仿宋_GB2312" w:cs="仿宋_GB2312"/>
          <w:i w:val="0"/>
          <w:iCs w:val="0"/>
          <w:caps w:val="0"/>
          <w:color w:val="303133"/>
          <w:spacing w:val="0"/>
          <w:sz w:val="32"/>
          <w:szCs w:val="32"/>
          <w:bdr w:val="none" w:color="auto" w:sz="0" w:space="0"/>
          <w:shd w:val="clear" w:fill="FFFFFF"/>
        </w:rPr>
        <w:t> 经教育部党组会审议批准，</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为做好全国教育科学规划中国教育法治与全球</w:t>
      </w:r>
      <w:bookmarkStart w:id="0" w:name="_GoBack"/>
      <w:bookmarkEnd w:id="0"/>
      <w:r>
        <w:rPr>
          <w:rFonts w:hint="eastAsia" w:ascii="仿宋_GB2312" w:hAnsi="Times New Roman" w:eastAsia="仿宋_GB2312" w:cs="仿宋_GB2312"/>
          <w:i w:val="0"/>
          <w:iCs w:val="0"/>
          <w:caps w:val="0"/>
          <w:color w:val="303133"/>
          <w:spacing w:val="0"/>
          <w:sz w:val="32"/>
          <w:szCs w:val="32"/>
          <w:bdr w:val="none" w:color="auto" w:sz="0" w:space="0"/>
          <w:shd w:val="clear" w:fill="FFFFFF"/>
        </w:rPr>
        <w:t>教育治理研究专项（以下简称法治专项）申报工作，现就有关事项公告如下。</w:t>
      </w:r>
    </w:p>
    <w:p w14:paraId="518431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ascii="黑体" w:hAnsi="宋体" w:eastAsia="黑体" w:cs="黑体"/>
          <w:i w:val="0"/>
          <w:iCs w:val="0"/>
          <w:caps w:val="0"/>
          <w:color w:val="303133"/>
          <w:spacing w:val="0"/>
          <w:sz w:val="32"/>
          <w:szCs w:val="32"/>
          <w:bdr w:val="none" w:color="auto" w:sz="0" w:space="0"/>
          <w:shd w:val="clear" w:fill="FFFFFF"/>
        </w:rPr>
        <w:t>一、专项目的</w:t>
      </w:r>
    </w:p>
    <w:p w14:paraId="561EDC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0BB9D5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黑体" w:hAnsi="宋体" w:eastAsia="黑体" w:cs="黑体"/>
          <w:i w:val="0"/>
          <w:iCs w:val="0"/>
          <w:caps w:val="0"/>
          <w:color w:val="303133"/>
          <w:spacing w:val="0"/>
          <w:sz w:val="32"/>
          <w:szCs w:val="32"/>
          <w:bdr w:val="none" w:color="auto" w:sz="0" w:space="0"/>
          <w:shd w:val="clear" w:fill="FFFFFF"/>
        </w:rPr>
        <w:t>二、选题指南</w:t>
      </w:r>
    </w:p>
    <w:p w14:paraId="48F071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仿宋_GB2312" w:hAnsi="Times New Roman" w:eastAsia="仿宋_GB2312" w:cs="仿宋_GB2312"/>
          <w:i w:val="0"/>
          <w:iCs w:val="0"/>
          <w:caps w:val="0"/>
          <w:color w:val="303133"/>
          <w:spacing w:val="0"/>
          <w:sz w:val="32"/>
          <w:szCs w:val="32"/>
          <w:bdr w:val="none" w:color="auto" w:sz="0" w:space="0"/>
          <w:shd w:val="clear" w:fill="FFFFFF"/>
        </w:rPr>
        <w:t>申报重大项目、重点项目、一般项目须从相应条目中选择，不可调整。培育项目如确有需要，可对选题进行适当微调，但不得大幅压缩或改变研究内容，必须与专项研究领域密切相关。每个选题原则上只确立</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个立项项目。项目名称表述要科学严谨、简明规范，避免引起歧义或争议。</w:t>
      </w:r>
    </w:p>
    <w:p w14:paraId="3EF092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黑体" w:hAnsi="宋体" w:eastAsia="黑体" w:cs="黑体"/>
          <w:i w:val="0"/>
          <w:iCs w:val="0"/>
          <w:caps w:val="0"/>
          <w:color w:val="303133"/>
          <w:spacing w:val="0"/>
          <w:sz w:val="32"/>
          <w:szCs w:val="32"/>
          <w:bdr w:val="none" w:color="auto" w:sz="0" w:space="0"/>
          <w:shd w:val="clear" w:fill="FFFFFF"/>
        </w:rPr>
        <w:t>三、资助额度</w:t>
      </w:r>
    </w:p>
    <w:p w14:paraId="0FC7F2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w:t>
      </w:r>
      <w:r>
        <w:rPr>
          <w:rFonts w:ascii="仿宋" w:hAnsi="仿宋" w:eastAsia="仿宋" w:cs="仿宋"/>
          <w:i w:val="0"/>
          <w:iCs w:val="0"/>
          <w:caps w:val="0"/>
          <w:color w:val="303133"/>
          <w:spacing w:val="0"/>
          <w:sz w:val="32"/>
          <w:szCs w:val="32"/>
          <w:bdr w:val="none" w:color="auto" w:sz="0" w:space="0"/>
          <w:shd w:val="clear" w:fill="FFFFFF"/>
        </w:rPr>
        <w:t>项目类别和</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资助额度</w:t>
      </w:r>
      <w:r>
        <w:rPr>
          <w:rFonts w:hint="eastAsia" w:ascii="仿宋" w:hAnsi="仿宋" w:eastAsia="仿宋" w:cs="仿宋"/>
          <w:i w:val="0"/>
          <w:iCs w:val="0"/>
          <w:caps w:val="0"/>
          <w:color w:val="303133"/>
          <w:spacing w:val="0"/>
          <w:sz w:val="32"/>
          <w:szCs w:val="32"/>
          <w:bdr w:val="none" w:color="auto" w:sz="0" w:space="0"/>
          <w:shd w:val="clear" w:fill="FFFFFF"/>
        </w:rPr>
        <w:t>分别为：重大项目，每项资助额度为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60</w:t>
      </w:r>
      <w:r>
        <w:rPr>
          <w:rFonts w:hint="eastAsia" w:ascii="仿宋" w:hAnsi="仿宋" w:eastAsia="仿宋" w:cs="仿宋"/>
          <w:i w:val="0"/>
          <w:iCs w:val="0"/>
          <w:caps w:val="0"/>
          <w:color w:val="303133"/>
          <w:spacing w:val="0"/>
          <w:sz w:val="32"/>
          <w:szCs w:val="32"/>
          <w:bdr w:val="none" w:color="auto" w:sz="0" w:space="0"/>
          <w:shd w:val="clear" w:fill="FFFFFF"/>
        </w:rPr>
        <w:t>万元；重点项目，每项资助额度为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35</w:t>
      </w:r>
      <w:r>
        <w:rPr>
          <w:rFonts w:hint="eastAsia" w:ascii="仿宋" w:hAnsi="仿宋" w:eastAsia="仿宋" w:cs="仿宋"/>
          <w:i w:val="0"/>
          <w:iCs w:val="0"/>
          <w:caps w:val="0"/>
          <w:color w:val="303133"/>
          <w:spacing w:val="0"/>
          <w:sz w:val="32"/>
          <w:szCs w:val="32"/>
          <w:bdr w:val="none" w:color="auto" w:sz="0" w:space="0"/>
          <w:shd w:val="clear" w:fill="FFFFFF"/>
        </w:rPr>
        <w:t>万元；一般项目，每项资助额度为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20</w:t>
      </w:r>
      <w:r>
        <w:rPr>
          <w:rFonts w:hint="eastAsia" w:ascii="仿宋" w:hAnsi="仿宋" w:eastAsia="仿宋" w:cs="仿宋"/>
          <w:i w:val="0"/>
          <w:iCs w:val="0"/>
          <w:caps w:val="0"/>
          <w:color w:val="303133"/>
          <w:spacing w:val="0"/>
          <w:sz w:val="32"/>
          <w:szCs w:val="32"/>
          <w:bdr w:val="none" w:color="auto" w:sz="0" w:space="0"/>
          <w:shd w:val="clear" w:fill="FFFFFF"/>
        </w:rPr>
        <w:t>万元；培育项目，每项资助额度为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10</w:t>
      </w:r>
      <w:r>
        <w:rPr>
          <w:rFonts w:hint="eastAsia" w:ascii="仿宋" w:hAnsi="仿宋" w:eastAsia="仿宋" w:cs="仿宋"/>
          <w:i w:val="0"/>
          <w:iCs w:val="0"/>
          <w:caps w:val="0"/>
          <w:color w:val="303133"/>
          <w:spacing w:val="0"/>
          <w:sz w:val="32"/>
          <w:szCs w:val="32"/>
          <w:bdr w:val="none" w:color="auto" w:sz="0" w:space="0"/>
          <w:shd w:val="clear" w:fill="FFFFFF"/>
        </w:rPr>
        <w:t>万元。</w:t>
      </w:r>
    </w:p>
    <w:p w14:paraId="4F02AE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黑体" w:hAnsi="宋体" w:eastAsia="黑体" w:cs="黑体"/>
          <w:i w:val="0"/>
          <w:iCs w:val="0"/>
          <w:caps w:val="0"/>
          <w:color w:val="303133"/>
          <w:spacing w:val="0"/>
          <w:sz w:val="32"/>
          <w:szCs w:val="32"/>
          <w:bdr w:val="none" w:color="auto" w:sz="0" w:space="0"/>
          <w:shd w:val="clear" w:fill="FFFFFF"/>
        </w:rPr>
        <w:t>四、申报条件</w:t>
      </w:r>
    </w:p>
    <w:p w14:paraId="69BC06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（一）项目申请人须具备下列条件</w:t>
      </w:r>
    </w:p>
    <w:p w14:paraId="5C64F9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申请人须遵守中华人民共和国宪法和法律，坚持正确的政治方向、价值取向和研究导向，遵守全国教育科学规划有关管理规定。</w:t>
      </w:r>
    </w:p>
    <w:p w14:paraId="6BAD5E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专项主要面向高等院校、部委直属单位、省级及以上研究机构、党校（行政学院）等机构的研究人员申报。</w:t>
      </w:r>
    </w:p>
    <w:p w14:paraId="7475FD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重大项目须具有正高级专业技术职称，或担任厅局级（含）以上领导职务；申报重点项目须具有副高级（含）以上专业技术职称，或者担任厅局级（含）以上领导职务。申报一般项目，须具有上述资格，或具有博士学位，或具有</w:t>
      </w:r>
      <w:r>
        <w:rPr>
          <w:rFonts w:hint="default" w:ascii="Times New Roman" w:hAnsi="Times New Roman" w:cs="Times New Roman"/>
          <w:i w:val="0"/>
          <w:iCs w:val="0"/>
          <w:caps w:val="0"/>
          <w:color w:val="303133"/>
          <w:spacing w:val="0"/>
          <w:sz w:val="32"/>
          <w:szCs w:val="32"/>
          <w:bdr w:val="none" w:color="auto" w:sz="0" w:space="0"/>
          <w:shd w:val="clear" w:fill="FFFFFF"/>
        </w:rPr>
        <w:t>10</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年以上专业领域实践经验及硕士学位。申报培育项目，须具有上述资格，或具有</w:t>
      </w: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年以上专业领域实践经验及硕士学位。</w:t>
      </w:r>
    </w:p>
    <w:p w14:paraId="584349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eastAsia" w:ascii="宋体" w:hAnsi="宋体" w:eastAsia="宋体" w:cs="宋体"/>
          <w:i w:val="0"/>
          <w:iCs w:val="0"/>
          <w:caps w:val="0"/>
          <w:color w:val="303133"/>
          <w:spacing w:val="0"/>
          <w:sz w:val="24"/>
          <w:szCs w:val="24"/>
          <w:bdr w:val="none" w:color="auto" w:sz="0" w:space="0"/>
          <w:shd w:val="clear" w:fill="FFFFFF"/>
        </w:rPr>
        <w:t> </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在研全国教育科学规划项目、国家社会科学基金项目、国家自然科学基金项目、教育部人文社会科学一般项目及其他国家级和教育部级项目的负责人不得申报专项。同年度申报上述国家级和教育部级基金项目的负责人不得申报专项。同年度全国教育科学规划项目的参与人不得作为项目负责人申报专项。</w:t>
      </w:r>
    </w:p>
    <w:p w14:paraId="175336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凡以博士学位论文或博士后出站报告为基础申报法治专项，须在《全国教育科学规划项目申请书》（以下简称《申请书》）中，注明所申报项目与学位论文（出站报告）的联系和区别。申请鉴定结项时须提交学位论文（出站报告）原件。不得以与已发表、出版的内容基本相同的研究成果申报专项。</w:t>
      </w:r>
    </w:p>
    <w:p w14:paraId="010558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（二）项目申请人所在单位须具备下列条件</w:t>
      </w:r>
    </w:p>
    <w:p w14:paraId="3C9439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在相关领域具有较强的师资队伍、研究力量，扎实的学术积累，或丰富的实践经验。</w:t>
      </w:r>
    </w:p>
    <w:p w14:paraId="3CC125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设有负责科研管理工作的职能部门。</w:t>
      </w:r>
    </w:p>
    <w:p w14:paraId="54066E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能够为开展研究工作提供必要条件</w:t>
      </w:r>
      <w:r>
        <w:rPr>
          <w:rFonts w:hint="default" w:ascii="Times New Roman" w:hAnsi="Times New Roman" w:cs="Times New Roman"/>
          <w:i w:val="0"/>
          <w:iCs w:val="0"/>
          <w:caps w:val="0"/>
          <w:color w:val="303133"/>
          <w:spacing w:val="0"/>
          <w:sz w:val="32"/>
          <w:szCs w:val="32"/>
          <w:bdr w:val="none" w:color="auto" w:sz="0" w:space="0"/>
          <w:shd w:val="clear" w:fill="FFFFFF"/>
        </w:rPr>
        <w:t>,</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并承诺信誉保证。</w:t>
      </w:r>
    </w:p>
    <w:p w14:paraId="765E4A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黑体" w:hAnsi="宋体" w:eastAsia="黑体" w:cs="黑体"/>
          <w:i w:val="0"/>
          <w:iCs w:val="0"/>
          <w:caps w:val="0"/>
          <w:color w:val="303133"/>
          <w:spacing w:val="0"/>
          <w:sz w:val="32"/>
          <w:szCs w:val="32"/>
          <w:bdr w:val="none" w:color="auto" w:sz="0" w:space="0"/>
          <w:shd w:val="clear" w:fill="FFFFFF"/>
        </w:rPr>
        <w:t>五、申报要求</w:t>
      </w:r>
    </w:p>
    <w:p w14:paraId="5B26F0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专项申报不限额。各二级管理机构和申请单位要着力提高申报质量，宁缺毋滥。</w:t>
      </w:r>
    </w:p>
    <w:p w14:paraId="5C1B04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专项研究年限为</w:t>
      </w:r>
      <w:r>
        <w:rPr>
          <w:rFonts w:hint="default" w:ascii="Times New Roman" w:hAnsi="Times New Roman" w:cs="Times New Roman"/>
          <w:i w:val="0"/>
          <w:iCs w:val="0"/>
          <w:caps w:val="0"/>
          <w:color w:val="303133"/>
          <w:spacing w:val="0"/>
          <w:sz w:val="32"/>
          <w:szCs w:val="32"/>
          <w:bdr w:val="none" w:color="auto" w:sz="0" w:space="0"/>
          <w:shd w:val="clear" w:fill="FFFFFF"/>
        </w:rPr>
        <w:t>2-3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年，不得延期。应用研究和综合研究的成果要求提交决策咨询报告，基础理论研究成果要求发表核心期刊论文。培育项目，如果是应用研究或综合研究，要求至少</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篇决策咨询报告被《全国教育科学规划课题成果要报》刊发、或被专项合作单位及以上领导肯定性批示、或被专项合作单位及以上党政机关的内刊刊发。如果是基础理论研究，要求至少发表</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篇中文核心期刊（或</w:t>
      </w:r>
      <w:r>
        <w:rPr>
          <w:rFonts w:hint="default" w:ascii="Times New Roman" w:hAnsi="Times New Roman" w:cs="Times New Roman"/>
          <w:i w:val="0"/>
          <w:iCs w:val="0"/>
          <w:caps w:val="0"/>
          <w:color w:val="303133"/>
          <w:spacing w:val="0"/>
          <w:sz w:val="32"/>
          <w:szCs w:val="32"/>
          <w:bdr w:val="none" w:color="auto" w:sz="0" w:space="0"/>
          <w:shd w:val="clear" w:fill="FFFFFF"/>
        </w:rPr>
        <w:t>CSSCI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SSCI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A&amp;HCI</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）论文。重大、重点、一般项目的成果要求须高于培育项目，成果形式、数量和级别与资助金额和研究年限相匹配。</w:t>
      </w:r>
    </w:p>
    <w:p w14:paraId="22B289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申请人应按照《全国教育科学规划管理办法》和全国教育科学规划项目资金管理有关办法（详见网站</w:t>
      </w:r>
      <w:r>
        <w:rPr>
          <w:rFonts w:hint="default" w:ascii="Times New Roman" w:hAnsi="Times New Roman" w:cs="Times New Roman"/>
          <w:i w:val="0"/>
          <w:iCs w:val="0"/>
          <w:caps w:val="0"/>
          <w:color w:val="303133"/>
          <w:spacing w:val="0"/>
          <w:sz w:val="32"/>
          <w:szCs w:val="32"/>
          <w:bdr w:val="none" w:color="auto" w:sz="0" w:space="0"/>
          <w:shd w:val="clear" w:fill="FFFFFF"/>
        </w:rPr>
        <w:t>https://onsgep.moe.edu.cn/</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）的要求，根据实际需要编制科学合理的经费预算。</w:t>
      </w:r>
    </w:p>
    <w:p w14:paraId="21F4DC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年内不得申报全国教育科学规划项目；已获立项的，立即撤项并通报批评，纳入科研信用不良记录，并责成所在单位依规追责。</w:t>
      </w:r>
    </w:p>
    <w:p w14:paraId="59CA7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获准立项的《申请书》视为具有约束力的资助合同文本。项目负责人应遵守相关承诺，履行约定义务，按期完成研究任务。申报时承诺的预期研究成果为结项时必须达到的要件，不得擅自变更。</w:t>
      </w:r>
    </w:p>
    <w:p w14:paraId="04D58E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pPr>
      <w:r>
        <w:rPr>
          <w:rFonts w:hint="eastAsia" w:ascii="黑体" w:hAnsi="宋体" w:eastAsia="黑体" w:cs="黑体"/>
          <w:i w:val="0"/>
          <w:iCs w:val="0"/>
          <w:caps w:val="0"/>
          <w:color w:val="303133"/>
          <w:spacing w:val="0"/>
          <w:sz w:val="32"/>
          <w:szCs w:val="32"/>
          <w:bdr w:val="none" w:color="auto" w:sz="0" w:space="0"/>
          <w:shd w:val="clear" w:fill="FFFFFF"/>
        </w:rPr>
        <w:t>六、工作安排</w:t>
      </w:r>
    </w:p>
    <w:p w14:paraId="4972CC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本年度法治专项实行网络申报，“全国教育科学规划管理平台”（以下简称平台，网址</w:t>
      </w:r>
      <w:r>
        <w:rPr>
          <w:rFonts w:hint="default" w:ascii="Times New Roman" w:hAnsi="Times New Roman" w:cs="Times New Roman"/>
          <w:i w:val="0"/>
          <w:iCs w:val="0"/>
          <w:caps w:val="0"/>
          <w:color w:val="303133"/>
          <w:spacing w:val="0"/>
          <w:sz w:val="32"/>
          <w:szCs w:val="32"/>
          <w:bdr w:val="none" w:color="auto" w:sz="0" w:space="0"/>
          <w:shd w:val="clear" w:fill="FFFFFF"/>
        </w:rPr>
        <w:t>https://202.205.185.227/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）中的“项目申报系统”为唯一申报平台，项目申报材料可从全国教育科学规划领导小组办公室（以下简称全规办）平台或网站下载。全规办不直接受理个人申报。</w:t>
      </w:r>
    </w:p>
    <w:p w14:paraId="3F1996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（一）申报时间安排</w:t>
      </w:r>
    </w:p>
    <w:p w14:paraId="6FF2CE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申报系统于</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10</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日零时至</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时开放。在此期间申请人可登录平台，填写并导出《申请书》，签字并加盖单位公章后，全文扫描在一个文档中，跟</w:t>
      </w:r>
      <w:r>
        <w:rPr>
          <w:rFonts w:hint="default" w:ascii="Times New Roman" w:hAnsi="Times New Roman" w:cs="Times New Roman"/>
          <w:i w:val="0"/>
          <w:iCs w:val="0"/>
          <w:caps w:val="0"/>
          <w:color w:val="303133"/>
          <w:spacing w:val="0"/>
          <w:sz w:val="32"/>
          <w:szCs w:val="32"/>
          <w:bdr w:val="none" w:color="auto" w:sz="0" w:space="0"/>
          <w:shd w:val="clear" w:fill="FFFFFF"/>
        </w:rPr>
        <w:t>PDF</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版本的《活页》一起提交到平台上。要确保线上线下《申请书》和《活页》内容完全一致。逾期系统自动关闭，不再受理申报（由省级教育科学规划办管理的单位需在此段时间内同步完成审核提交）。</w:t>
      </w:r>
    </w:p>
    <w:p w14:paraId="32F3FE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（二）审核时间安排</w:t>
      </w:r>
    </w:p>
    <w:p w14:paraId="2A9A04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二级管理单位网上审核提交截止时间为</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5600A6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0D42DC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both"/>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专项《申请书》《活页》和《申报数据汇总表》均无需寄送纸质版。在平台上提交给全规办的所有材料均视为经过各级单位审核同意的文本。待立项公布后，请二级管理单位在</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个月之内，在平台上下载所属立项项目的《申请书》（不需要《活页》），补全公章后扫描为一个</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PDF</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文档，上传至平台存档。</w:t>
      </w:r>
    </w:p>
    <w:p w14:paraId="71CD3C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5F34A2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66BE9B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604AAD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6"/>
          <w:rFonts w:hint="default" w:ascii="Times New Roman" w:hAnsi="Times New Roman" w:cs="Times New Roman"/>
          <w:i w:val="0"/>
          <w:iCs w:val="0"/>
          <w:caps w:val="0"/>
          <w:spacing w:val="0"/>
          <w:sz w:val="32"/>
          <w:szCs w:val="32"/>
          <w:u w:val="single"/>
          <w:bdr w:val="none" w:color="auto" w:sz="0" w:space="0"/>
          <w:shd w:val="clear" w:fill="FFFFFF"/>
        </w:rPr>
        <w:t>support@e-plugger.com</w:t>
      </w:r>
      <w:r>
        <w:rPr>
          <w:rStyle w:val="6"/>
          <w:rFonts w:hint="eastAsia" w:ascii="仿宋_GB2312" w:hAnsi="Times New Roman" w:eastAsia="仿宋_GB2312" w:cs="仿宋_GB2312"/>
          <w:i w:val="0"/>
          <w:iCs w:val="0"/>
          <w:caps w:val="0"/>
          <w:spacing w:val="0"/>
          <w:sz w:val="32"/>
          <w:szCs w:val="32"/>
          <w:u w:val="single"/>
          <w:bdr w:val="none" w:color="auto" w:sz="0" w:space="0"/>
          <w:shd w:val="clear" w:fill="FFFFFF"/>
        </w:rPr>
        <w:t>。</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3222D2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6FCAC8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52"/>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p>
    <w:p w14:paraId="7B5F11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52"/>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7D637D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62C97"/>
    <w:rsid w:val="4D262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2026-06-05T07:13:00Z</dcterms:created>
  <dc:creator>Administrator</dc:creator>
  <cp:lastModifiedBy>Administrator</cp:lastModifiedBy>
  <dcterms:modified xsi:type="dcterms:W3CDTF">2026-06-05T07:14:09Z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F1EDE237BC224ACBA5FA7C96684B3075_11</vt:lpwstr>
  </property>
  <property fmtid="{D5CDD505-2E9C-101B-9397-08002B2CF9AE}" pid="4" name="KSOTemplateDocerSaveRecord">
    <vt:lpwstr>eyJoZGlkIjoiZTM3ODE1YzRmNzVhYzczNDIzMTk0MWY0ZTk2ZTdjOWQiLCJ1c2VySWQiOiIyNTY2MDE1MjgifQ==</vt:lpwstr>
  </property>
</Properties>
</file>